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C" w:rsidRDefault="00552221" w:rsidP="00AE10C1">
      <w:pPr>
        <w:outlineLvl w:val="0"/>
        <w:rPr>
          <w:rFonts w:ascii="Arial" w:eastAsia="Times New Roman" w:hAnsi="Arial" w:cs="Arial"/>
          <w:sz w:val="29"/>
          <w:szCs w:val="29"/>
        </w:rPr>
      </w:pPr>
      <w:r>
        <w:rPr>
          <w:rFonts w:ascii="Arial" w:eastAsia="Times New Roman" w:hAnsi="Arial" w:cs="Arial"/>
          <w:sz w:val="29"/>
          <w:szCs w:val="29"/>
        </w:rPr>
        <w:t>PDSI 990</w:t>
      </w:r>
      <w:r w:rsidR="00176FA8">
        <w:rPr>
          <w:rFonts w:ascii="Arial" w:eastAsia="Times New Roman" w:hAnsi="Arial" w:cs="Arial"/>
          <w:sz w:val="29"/>
          <w:szCs w:val="29"/>
        </w:rPr>
        <w:t>0</w:t>
      </w:r>
      <w:bookmarkStart w:id="0" w:name="_GoBack"/>
      <w:bookmarkEnd w:id="0"/>
      <w:r>
        <w:rPr>
          <w:rFonts w:ascii="Arial" w:eastAsia="Times New Roman" w:hAnsi="Arial" w:cs="Arial"/>
          <w:sz w:val="29"/>
          <w:szCs w:val="29"/>
        </w:rPr>
        <w:t xml:space="preserve">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rsidR="001B6C2C" w:rsidRPr="001B6C2C" w:rsidRDefault="00C21660"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Travel Experience for the Classroom</w:t>
      </w:r>
    </w:p>
    <w:p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rsidR="001B6C2C" w:rsidRDefault="001B6C2C" w:rsidP="001B6C2C">
      <w:pPr>
        <w:spacing w:after="0" w:line="240" w:lineRule="auto"/>
        <w:rPr>
          <w:rFonts w:ascii="Arial" w:eastAsia="Times New Roman" w:hAnsi="Arial" w:cs="Arial"/>
          <w:sz w:val="29"/>
          <w:szCs w:val="29"/>
        </w:rPr>
      </w:pPr>
      <w:r w:rsidRPr="001B6C2C">
        <w:rPr>
          <w:rFonts w:ascii="Arial" w:eastAsia="Times New Roman" w:hAnsi="Arial" w:cs="Arial"/>
          <w:sz w:val="29"/>
          <w:szCs w:val="29"/>
        </w:rPr>
        <w:t>2</w:t>
      </w:r>
      <w:r w:rsidR="008B3909" w:rsidRPr="001B6C2C">
        <w:rPr>
          <w:rFonts w:ascii="Arial" w:eastAsia="Times New Roman" w:hAnsi="Arial" w:cs="Arial"/>
          <w:sz w:val="29"/>
          <w:szCs w:val="29"/>
        </w:rPr>
        <w:t>, 3</w:t>
      </w:r>
      <w:r w:rsidRPr="001B6C2C">
        <w:rPr>
          <w:rFonts w:ascii="Arial" w:eastAsia="Times New Roman" w:hAnsi="Arial" w:cs="Arial"/>
          <w:sz w:val="29"/>
          <w:szCs w:val="29"/>
        </w:rPr>
        <w:t xml:space="preserve"> or 4 graduate level</w:t>
      </w:r>
      <w:r>
        <w:rPr>
          <w:rFonts w:ascii="Arial" w:eastAsia="Times New Roman" w:hAnsi="Arial" w:cs="Arial"/>
          <w:sz w:val="29"/>
          <w:szCs w:val="29"/>
        </w:rPr>
        <w:t xml:space="preserve"> </w:t>
      </w:r>
      <w:r w:rsidRPr="001B6C2C">
        <w:rPr>
          <w:rFonts w:ascii="Arial" w:eastAsia="Times New Roman" w:hAnsi="Arial" w:cs="Arial"/>
          <w:sz w:val="29"/>
          <w:szCs w:val="29"/>
        </w:rPr>
        <w:t>semester credits</w:t>
      </w:r>
    </w:p>
    <w:p w:rsidR="00E64FC6" w:rsidRPr="001B6C2C" w:rsidRDefault="00E64FC6" w:rsidP="001B6C2C">
      <w:pPr>
        <w:spacing w:after="0" w:line="240" w:lineRule="auto"/>
        <w:rPr>
          <w:rFonts w:ascii="Arial" w:eastAsia="Times New Roman" w:hAnsi="Arial" w:cs="Arial"/>
          <w:sz w:val="29"/>
          <w:szCs w:val="29"/>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rsidR="008B3909" w:rsidRPr="001B6C2C" w:rsidRDefault="008B3909" w:rsidP="001B6C2C">
      <w:pPr>
        <w:spacing w:after="0" w:line="240" w:lineRule="auto"/>
        <w:rPr>
          <w:rFonts w:ascii="Arial" w:eastAsia="Times New Roman" w:hAnsi="Arial" w:cs="Arial"/>
          <w:sz w:val="23"/>
          <w:szCs w:val="23"/>
        </w:rPr>
      </w:pP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they teach through travel and cultural, historical, scientific and social study of different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rsid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rsidR="00E64FC6" w:rsidRDefault="00E64FC6" w:rsidP="001B6C2C">
      <w:pPr>
        <w:spacing w:after="0" w:line="240" w:lineRule="auto"/>
        <w:rPr>
          <w:rFonts w:ascii="Arial" w:eastAsia="Times New Roman" w:hAnsi="Arial" w:cs="Arial"/>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BC6642" w:rsidRDefault="00BC6642" w:rsidP="001B6C2C">
      <w:pPr>
        <w:spacing w:after="0" w:line="240" w:lineRule="auto"/>
        <w:rPr>
          <w:rFonts w:ascii="Arial" w:eastAsia="Times New Roman" w:hAnsi="Arial" w:cs="Arial"/>
          <w:b/>
          <w:i/>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ing as tuition is non-refundable. These units do not count toward undergraduate degree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rsidR="00E64FC6" w:rsidRDefault="00E64FC6" w:rsidP="001B6C2C">
      <w:pPr>
        <w:spacing w:after="0" w:line="240" w:lineRule="auto"/>
        <w:rPr>
          <w:rFonts w:ascii="Arial" w:eastAsia="Times New Roman" w:hAnsi="Arial" w:cs="Arial"/>
          <w:sz w:val="23"/>
          <w:szCs w:val="23"/>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rsidR="001B6C2C" w:rsidRDefault="001B6C2C" w:rsidP="00BC6642">
      <w:pPr>
        <w:spacing w:after="0" w:line="240" w:lineRule="auto"/>
        <w:outlineLvl w:val="0"/>
        <w:rPr>
          <w:rFonts w:ascii="Arial" w:eastAsia="Times New Roman" w:hAnsi="Arial" w:cs="Arial"/>
          <w:sz w:val="23"/>
          <w:szCs w:val="23"/>
        </w:rPr>
      </w:pPr>
    </w:p>
    <w:p w:rsidR="00E64FC6" w:rsidRDefault="00E64FC6" w:rsidP="001B6C2C">
      <w:pPr>
        <w:spacing w:after="0" w:line="240" w:lineRule="auto"/>
        <w:rPr>
          <w:rFonts w:ascii="Arial" w:eastAsia="Times New Roman" w:hAnsi="Arial" w:cs="Arial"/>
          <w:sz w:val="23"/>
          <w:szCs w:val="23"/>
        </w:rPr>
      </w:pPr>
    </w:p>
    <w:p w:rsidR="00E64FC6" w:rsidRPr="001B6C2C" w:rsidRDefault="002D1EC7"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rsidR="00D119DB" w:rsidRDefault="00D119DB"/>
    <w:sectPr w:rsidR="00D119DB"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oNotTrackMoves/>
  <w:defaultTabStop w:val="720"/>
  <w:characterSpacingControl w:val="doNotCompress"/>
  <w:compat/>
  <w:rsids>
    <w:rsidRoot w:val="001B6C2C"/>
    <w:rsid w:val="00176FA8"/>
    <w:rsid w:val="001B6C2C"/>
    <w:rsid w:val="002D1EC7"/>
    <w:rsid w:val="00552221"/>
    <w:rsid w:val="005F065F"/>
    <w:rsid w:val="007E44CC"/>
    <w:rsid w:val="008055B0"/>
    <w:rsid w:val="008B3909"/>
    <w:rsid w:val="00942668"/>
    <w:rsid w:val="00AE10C1"/>
    <w:rsid w:val="00B46601"/>
    <w:rsid w:val="00BC6642"/>
    <w:rsid w:val="00C21660"/>
    <w:rsid w:val="00D119DB"/>
    <w:rsid w:val="00E64FC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summerinstitutes.com" TargetMode="External"/><Relationship Id="rId5" Type="http://schemas.openxmlformats.org/officeDocument/2006/relationships/hyperlink" Target="mailto:Scott@summerinstitu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5573</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2</cp:revision>
  <dcterms:created xsi:type="dcterms:W3CDTF">2019-10-20T18:40:00Z</dcterms:created>
  <dcterms:modified xsi:type="dcterms:W3CDTF">2019-10-20T18:40:00Z</dcterms:modified>
</cp:coreProperties>
</file>